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Лакман И.А.</w:t>
      </w:r>
    </w:p>
    <w:p w14:paraId="02000000">
      <w:pPr>
        <w:ind/>
        <w:jc w:val="both"/>
        <w:rPr>
          <w:rFonts w:ascii="Times New Roman" w:hAnsi="Times New Roman"/>
          <w:b w:val="0"/>
          <w:i w:val="1"/>
          <w:sz w:val="24"/>
        </w:rPr>
      </w:pPr>
      <w:r>
        <w:rPr>
          <w:rFonts w:ascii="Times New Roman" w:hAnsi="Times New Roman"/>
          <w:b w:val="0"/>
          <w:i w:val="1"/>
          <w:sz w:val="24"/>
        </w:rPr>
        <w:t>член Правления РАС, лауреат Почетного знака РАС за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1"/>
        </w:rPr>
        <w:t xml:space="preserve"> проведение выдающихся научных исследования и методологических работ в области статистики, организацию крупных научных мероприятий, </w:t>
      </w:r>
      <w:r>
        <w:rPr>
          <w:rFonts w:ascii="Arial" w:hAnsi="Arial"/>
          <w:b w:val="0"/>
          <w:i w:val="1"/>
          <w:caps w:val="0"/>
          <w:color w:val="000000"/>
          <w:spacing w:val="0"/>
          <w:sz w:val="18"/>
        </w:rPr>
        <w:t>руководитель Лаборатории исследования социальных и экономических проблем регионов Уфимского университета науки и технологий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1"/>
        </w:rPr>
        <w:t xml:space="preserve"> </w:t>
      </w:r>
    </w:p>
    <w:p w14:paraId="03000000">
      <w:pPr>
        <w:ind/>
        <w:jc w:val="both"/>
        <w:rPr>
          <w:rFonts w:ascii="Times New Roman" w:hAnsi="Times New Roman"/>
          <w:b w:val="1"/>
          <w:sz w:val="24"/>
        </w:rPr>
      </w:pPr>
    </w:p>
    <w:p w14:paraId="04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Статистические студенческие олимпиады</w:t>
      </w:r>
    </w:p>
    <w:p w14:paraId="05000000">
      <w:pPr>
        <w:spacing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Цель</w:t>
      </w:r>
      <w:r>
        <w:rPr>
          <w:rFonts w:ascii="Times New Roman" w:hAnsi="Times New Roman"/>
          <w:sz w:val="24"/>
        </w:rPr>
        <w:t xml:space="preserve">. Выявление распространения </w:t>
      </w:r>
      <w:r>
        <w:rPr>
          <w:rFonts w:ascii="Times New Roman" w:hAnsi="Times New Roman"/>
          <w:sz w:val="24"/>
        </w:rPr>
        <w:t>студенческо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статистическо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олимпиадно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движени</w:t>
      </w:r>
      <w:r>
        <w:rPr>
          <w:rFonts w:ascii="Times New Roman" w:hAnsi="Times New Roman"/>
          <w:sz w:val="24"/>
        </w:rPr>
        <w:t xml:space="preserve">я среди вузов России, а также отношение к нему </w:t>
      </w:r>
      <w:r>
        <w:rPr>
          <w:rFonts w:ascii="Times New Roman" w:hAnsi="Times New Roman"/>
          <w:sz w:val="24"/>
        </w:rPr>
        <w:t>со стороны</w:t>
      </w:r>
      <w:r>
        <w:rPr>
          <w:rFonts w:ascii="Times New Roman" w:hAnsi="Times New Roman"/>
          <w:sz w:val="24"/>
        </w:rPr>
        <w:t xml:space="preserve"> представителей вузов и </w:t>
      </w:r>
      <w:r>
        <w:rPr>
          <w:rFonts w:ascii="Times New Roman" w:hAnsi="Times New Roman"/>
          <w:sz w:val="24"/>
        </w:rPr>
        <w:t>сотрудников территориальных органов государственной статистики.</w:t>
      </w:r>
    </w:p>
    <w:p w14:paraId="06000000">
      <w:pPr>
        <w:spacing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Методы.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период </w:t>
      </w:r>
      <w:r>
        <w:rPr>
          <w:rFonts w:ascii="Times New Roman" w:hAnsi="Times New Roman"/>
          <w:sz w:val="24"/>
        </w:rPr>
        <w:t xml:space="preserve">с 24/12/25 по 12/01/26 </w:t>
      </w:r>
      <w:r>
        <w:rPr>
          <w:rFonts w:ascii="Times New Roman" w:hAnsi="Times New Roman"/>
          <w:sz w:val="24"/>
        </w:rPr>
        <w:t>проводился запрос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студенческому </w:t>
      </w:r>
      <w:r>
        <w:rPr>
          <w:rFonts w:ascii="Times New Roman" w:hAnsi="Times New Roman"/>
          <w:sz w:val="24"/>
        </w:rPr>
        <w:t xml:space="preserve">статистическому </w:t>
      </w:r>
      <w:r>
        <w:rPr>
          <w:rFonts w:ascii="Times New Roman" w:hAnsi="Times New Roman"/>
          <w:sz w:val="24"/>
        </w:rPr>
        <w:t>олимпиадному движению</w:t>
      </w:r>
      <w:r>
        <w:rPr>
          <w:rFonts w:ascii="Times New Roman" w:hAnsi="Times New Roman"/>
          <w:sz w:val="24"/>
        </w:rPr>
        <w:t xml:space="preserve"> с введением информации в </w:t>
      </w:r>
      <w:r>
        <w:rPr>
          <w:rFonts w:ascii="Times New Roman" w:hAnsi="Times New Roman"/>
          <w:sz w:val="24"/>
        </w:rPr>
        <w:t>excel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таблицу. На запрос отвечали исключительно представители высшей школы России. Также для получения детального </w:t>
      </w:r>
      <w:r>
        <w:rPr>
          <w:rFonts w:ascii="Times New Roman" w:hAnsi="Times New Roman"/>
          <w:sz w:val="24"/>
        </w:rPr>
        <w:t>представления об</w:t>
      </w:r>
      <w:r>
        <w:rPr>
          <w:rFonts w:ascii="Times New Roman" w:hAnsi="Times New Roman"/>
          <w:sz w:val="24"/>
        </w:rPr>
        <w:t xml:space="preserve"> отношении к студенческому статистическому олимпиадному движению со стороны более широкого круга </w:t>
      </w:r>
      <w:r>
        <w:rPr>
          <w:rFonts w:ascii="Times New Roman" w:hAnsi="Times New Roman"/>
          <w:sz w:val="24"/>
        </w:rPr>
        <w:t>интересантов</w:t>
      </w:r>
      <w:r>
        <w:rPr>
          <w:rFonts w:ascii="Times New Roman" w:hAnsi="Times New Roman"/>
          <w:sz w:val="24"/>
        </w:rPr>
        <w:t xml:space="preserve"> (представителей вузов и представителей территориальных органов </w:t>
      </w:r>
      <w:r>
        <w:rPr>
          <w:rFonts w:ascii="Times New Roman" w:hAnsi="Times New Roman"/>
          <w:sz w:val="24"/>
        </w:rPr>
        <w:t>государственной</w:t>
      </w:r>
      <w:r>
        <w:rPr>
          <w:rFonts w:ascii="Times New Roman" w:hAnsi="Times New Roman"/>
          <w:sz w:val="24"/>
        </w:rPr>
        <w:t xml:space="preserve"> статистики) в</w:t>
      </w:r>
      <w:r>
        <w:rPr>
          <w:rFonts w:ascii="Times New Roman" w:hAnsi="Times New Roman"/>
          <w:sz w:val="24"/>
        </w:rPr>
        <w:t xml:space="preserve"> период с 29/</w:t>
      </w:r>
      <w:r>
        <w:rPr>
          <w:rFonts w:ascii="Times New Roman" w:hAnsi="Times New Roman"/>
          <w:sz w:val="24"/>
        </w:rPr>
        <w:t>12/2025</w:t>
      </w:r>
      <w:r>
        <w:rPr>
          <w:rFonts w:ascii="Times New Roman" w:hAnsi="Times New Roman"/>
          <w:sz w:val="24"/>
        </w:rPr>
        <w:t xml:space="preserve"> по 12/01/2026 проводился онлайн-опрос согласно разработанной яндекс-форме. Ответы не были анонимными</w:t>
      </w:r>
      <w:r>
        <w:rPr>
          <w:rFonts w:ascii="Times New Roman" w:hAnsi="Times New Roman"/>
          <w:sz w:val="24"/>
        </w:rPr>
        <w:t xml:space="preserve"> – участники указывали ФИО и организацию, мнение которой они представляют. В опросе было </w:t>
      </w:r>
      <w:r>
        <w:rPr>
          <w:rFonts w:ascii="Times New Roman" w:hAnsi="Times New Roman"/>
          <w:sz w:val="24"/>
        </w:rPr>
        <w:t xml:space="preserve">10 </w:t>
      </w:r>
      <w:r>
        <w:rPr>
          <w:rFonts w:ascii="Times New Roman" w:hAnsi="Times New Roman"/>
          <w:sz w:val="24"/>
        </w:rPr>
        <w:t>вопросов, из которых практически все кроме вариантов предложенных ответов содержали возможность собственного ответа на задаваемый вопрос.</w:t>
      </w:r>
      <w:r>
        <w:rPr>
          <w:rFonts w:ascii="Times New Roman" w:hAnsi="Times New Roman"/>
          <w:sz w:val="24"/>
        </w:rPr>
        <w:t xml:space="preserve"> Для оценки различий во мнениях между представителями вузов представителями ТОГС использовали многомерный χ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-критерий.</w:t>
      </w:r>
    </w:p>
    <w:p w14:paraId="07000000">
      <w:pPr>
        <w:spacing w:line="36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Результаты. </w:t>
      </w:r>
    </w:p>
    <w:p w14:paraId="08000000">
      <w:pPr>
        <w:spacing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общей сложности на запрос о предоставлении информации </w:t>
      </w:r>
      <w:r>
        <w:rPr>
          <w:rFonts w:ascii="Times New Roman" w:hAnsi="Times New Roman"/>
          <w:sz w:val="24"/>
        </w:rPr>
        <w:t>по студенческому олимпиадному движению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ответили </w:t>
      </w:r>
      <w:r>
        <w:rPr>
          <w:rFonts w:ascii="Times New Roman" w:hAnsi="Times New Roman"/>
          <w:sz w:val="24"/>
        </w:rPr>
        <w:t xml:space="preserve">40 </w:t>
      </w:r>
      <w:r>
        <w:rPr>
          <w:rFonts w:ascii="Times New Roman" w:hAnsi="Times New Roman"/>
          <w:sz w:val="24"/>
        </w:rPr>
        <w:t>вузов</w:t>
      </w:r>
      <w:r>
        <w:rPr>
          <w:rFonts w:ascii="Times New Roman" w:hAnsi="Times New Roman"/>
          <w:sz w:val="24"/>
        </w:rPr>
        <w:t xml:space="preserve"> (только 13 (32,5%) дали полные ответы на запрос)</w:t>
      </w:r>
      <w:r>
        <w:rPr>
          <w:rFonts w:ascii="Times New Roman" w:hAnsi="Times New Roman"/>
          <w:sz w:val="24"/>
        </w:rPr>
        <w:t>, из них 10 (</w:t>
      </w:r>
      <w:r>
        <w:rPr>
          <w:rFonts w:ascii="Times New Roman" w:hAnsi="Times New Roman"/>
          <w:sz w:val="24"/>
        </w:rPr>
        <w:t>25%</w:t>
      </w:r>
      <w:r>
        <w:rPr>
          <w:rFonts w:ascii="Times New Roman" w:hAnsi="Times New Roman"/>
          <w:sz w:val="24"/>
        </w:rPr>
        <w:t>) уже проводят в каком-то виде статистические олимпиады</w:t>
      </w:r>
      <w:r>
        <w:rPr>
          <w:rFonts w:ascii="Times New Roman" w:hAnsi="Times New Roman"/>
          <w:sz w:val="24"/>
        </w:rPr>
        <w:t xml:space="preserve"> либо конкурсы студенческих работ</w:t>
      </w:r>
      <w:r>
        <w:rPr>
          <w:rFonts w:ascii="Times New Roman" w:hAnsi="Times New Roman"/>
          <w:sz w:val="24"/>
        </w:rPr>
        <w:t>, 2 вуза (</w:t>
      </w:r>
      <w:r>
        <w:rPr>
          <w:rFonts w:ascii="Times New Roman" w:hAnsi="Times New Roman"/>
          <w:sz w:val="24"/>
        </w:rPr>
        <w:t>5%</w:t>
      </w:r>
      <w:r>
        <w:rPr>
          <w:rFonts w:ascii="Times New Roman" w:hAnsi="Times New Roman"/>
          <w:sz w:val="24"/>
        </w:rPr>
        <w:t>) планируют провести такую олимпиаду в текущем учебном году</w:t>
      </w:r>
      <w:r>
        <w:rPr>
          <w:rFonts w:ascii="Times New Roman" w:hAnsi="Times New Roman"/>
          <w:sz w:val="24"/>
        </w:rPr>
        <w:t>. В целом 38 вузов (</w:t>
      </w:r>
      <w:r>
        <w:rPr>
          <w:rFonts w:ascii="Times New Roman" w:hAnsi="Times New Roman"/>
          <w:sz w:val="24"/>
        </w:rPr>
        <w:t>95%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заинтересован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в участии в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лимпиадах</w:t>
      </w:r>
      <w:r>
        <w:rPr>
          <w:rFonts w:ascii="Times New Roman" w:hAnsi="Times New Roman"/>
          <w:sz w:val="24"/>
        </w:rPr>
        <w:t xml:space="preserve"> по статистике, проводимых</w:t>
      </w:r>
      <w:r>
        <w:rPr>
          <w:rFonts w:ascii="Times New Roman" w:hAnsi="Times New Roman"/>
          <w:sz w:val="24"/>
        </w:rPr>
        <w:t xml:space="preserve"> други</w:t>
      </w:r>
      <w:r>
        <w:rPr>
          <w:rFonts w:ascii="Times New Roman" w:hAnsi="Times New Roman"/>
          <w:sz w:val="24"/>
        </w:rPr>
        <w:t>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вузами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 этом только 9 вузов считают необходимым приглашать на олимпиады участников из других вузов, что означает, что </w:t>
      </w:r>
      <w:r>
        <w:rPr>
          <w:rFonts w:ascii="Times New Roman" w:hAnsi="Times New Roman"/>
          <w:sz w:val="24"/>
        </w:rPr>
        <w:t>подавляющее</w:t>
      </w:r>
      <w:r>
        <w:rPr>
          <w:rFonts w:ascii="Times New Roman" w:hAnsi="Times New Roman"/>
          <w:sz w:val="24"/>
        </w:rPr>
        <w:t xml:space="preserve"> большинство университетов, </w:t>
      </w:r>
      <w:r>
        <w:rPr>
          <w:rFonts w:ascii="Times New Roman" w:hAnsi="Times New Roman"/>
          <w:sz w:val="24"/>
        </w:rPr>
        <w:t>участвующих</w:t>
      </w:r>
      <w:r>
        <w:rPr>
          <w:rFonts w:ascii="Times New Roman" w:hAnsi="Times New Roman"/>
          <w:sz w:val="24"/>
        </w:rPr>
        <w:t xml:space="preserve"> в опросе, желаю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 проводить мероприятие в локальном внутривузовском формате. </w:t>
      </w:r>
      <w:r>
        <w:rPr>
          <w:rFonts w:ascii="Times New Roman" w:hAnsi="Times New Roman"/>
          <w:sz w:val="24"/>
        </w:rPr>
        <w:t>В качестве формата проведения олимпиады 3 вуза предпочитают заочный и/или онлайн формат, 4 вуза высказались за смешанное проведение конкурсных мероприятий и столько же высказалось за исключительно очный формат. Что касается предпочтений вузов по формам конкурсных заданий, то из 9 давших ответ 3 ответили, что предпочитают кейсы и практические задачи, 4 вуза дали ответ, что предпочитают тесты и 2 вуза высказались за смешанный формат (кейсы + тесты).</w:t>
      </w:r>
    </w:p>
    <w:p w14:paraId="09000000">
      <w:pPr>
        <w:spacing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онлайн-анкет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вузовским статистическим олимпиадам </w:t>
      </w:r>
      <w:r>
        <w:rPr>
          <w:rFonts w:ascii="Times New Roman" w:hAnsi="Times New Roman"/>
          <w:sz w:val="24"/>
        </w:rPr>
        <w:t>ответило 48 респондентов, из них 2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представителей вузов России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человека, представители территориальных органов государственной статистики</w:t>
      </w:r>
      <w:r>
        <w:rPr>
          <w:rFonts w:ascii="Times New Roman" w:hAnsi="Times New Roman"/>
          <w:sz w:val="24"/>
        </w:rPr>
        <w:t>, 1 респондент заполнил анкету полностью анонимно, не указав название организации, которую он представляет (данный ответ учтен в общей сводке не был)</w:t>
      </w:r>
      <w:r>
        <w:rPr>
          <w:rFonts w:ascii="Times New Roman" w:hAnsi="Times New Roman"/>
          <w:sz w:val="24"/>
        </w:rPr>
        <w:t>. В таблице представлены распределени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ответ</w:t>
      </w:r>
      <w:r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 xml:space="preserve"> на вопрос</w:t>
      </w:r>
      <w:r>
        <w:rPr>
          <w:rFonts w:ascii="Times New Roman" w:hAnsi="Times New Roman"/>
          <w:sz w:val="24"/>
        </w:rPr>
        <w:t>ы представителей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вузовского сообщества и представителей территориальных органов государственной статистики</w:t>
      </w:r>
      <w:r>
        <w:rPr>
          <w:rFonts w:ascii="Times New Roman" w:hAnsi="Times New Roman"/>
          <w:sz w:val="24"/>
        </w:rPr>
        <w:t xml:space="preserve"> (ТОГС)</w:t>
      </w:r>
      <w:r>
        <w:rPr>
          <w:rFonts w:ascii="Times New Roman" w:hAnsi="Times New Roman"/>
          <w:sz w:val="24"/>
        </w:rPr>
        <w:t xml:space="preserve">. В таблице сравнивается распределение ответов на вопросы </w:t>
      </w:r>
      <w:r>
        <w:rPr>
          <w:rFonts w:ascii="Times New Roman" w:hAnsi="Times New Roman"/>
          <w:sz w:val="24"/>
        </w:rPr>
        <w:t xml:space="preserve">со стороны </w:t>
      </w:r>
      <w:r>
        <w:rPr>
          <w:rFonts w:ascii="Times New Roman" w:hAnsi="Times New Roman"/>
          <w:sz w:val="24"/>
        </w:rPr>
        <w:t>представителей высшего образования и представителей ТОГС согласно многомерному критерию χ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.</w:t>
      </w:r>
    </w:p>
    <w:p w14:paraId="0A000000">
      <w:pPr>
        <w:spacing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видно из результатов опроса на вопрос «</w:t>
      </w:r>
      <w:r>
        <w:rPr>
          <w:rFonts w:ascii="Times New Roman" w:hAnsi="Times New Roman"/>
          <w:sz w:val="24"/>
        </w:rPr>
        <w:t>Как Вы считаете нужно ли проводить олимпиады для студентов по статистике отдельно?</w:t>
      </w:r>
      <w:r>
        <w:rPr>
          <w:rFonts w:ascii="Times New Roman" w:hAnsi="Times New Roman"/>
          <w:sz w:val="24"/>
        </w:rPr>
        <w:t xml:space="preserve">» различий в мнении вузовского сообщества и представителей ТОГС </w:t>
      </w:r>
      <w:r>
        <w:rPr>
          <w:rFonts w:ascii="Times New Roman" w:hAnsi="Times New Roman"/>
          <w:sz w:val="24"/>
        </w:rPr>
        <w:t>практически нет – большинство считает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что проводить олимпиады необходимо, правда, был получен 1 комментарий, что проводить нужно не всем вузам</w:t>
      </w:r>
      <w:r>
        <w:rPr>
          <w:rFonts w:ascii="Times New Roman" w:hAnsi="Times New Roman"/>
          <w:sz w:val="24"/>
        </w:rPr>
        <w:t xml:space="preserve"> подряд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Статистических различий в мнении также не наблюдается в необходимом формате проведения олимпиады, правда, представители вузов заметно чаще, чем сотрудники ТОГС высказывались за очный формат проведения (41% против 15%), и, напротив, представители органов статистики чаще предполагали возможным полностью заочный формат проведения конкурсов и олимпиад по статистике (в виде эссе) – 30% против 15%. </w:t>
      </w:r>
      <w:r>
        <w:rPr>
          <w:rFonts w:ascii="Times New Roman" w:hAnsi="Times New Roman"/>
          <w:sz w:val="24"/>
        </w:rPr>
        <w:t xml:space="preserve">Следует отметить, что 6 (22%) представителей вузов уточнили, что целесообразным является проведение смешанного формата олимпиады, когда первый тур проводится онлайн, а второй – офлайн. </w:t>
      </w:r>
    </w:p>
    <w:p w14:paraId="0B000000">
      <w:pPr>
        <w:spacing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Значимые различия в мнениях представителей вузов и ТОГС были получены относительно возможности принятия участия в статистической олимпиаде обучающихся на разных уровнях образования,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&lt;0,05</w:t>
      </w:r>
      <w:r>
        <w:rPr>
          <w:rFonts w:ascii="Times New Roman" w:hAnsi="Times New Roman"/>
          <w:sz w:val="24"/>
        </w:rPr>
        <w:t>. Так</w:t>
      </w:r>
      <w:r>
        <w:rPr>
          <w:rFonts w:ascii="Times New Roman" w:hAnsi="Times New Roman"/>
          <w:sz w:val="24"/>
        </w:rPr>
        <w:t xml:space="preserve"> в подавляющем большинстве (63%)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вузовское сообщество высказалось за разделение конкурсных мероприятий в рамках проведения олимпиады для бакалавров и магистрантов, тогда как представители ТОГС, напротив, поддержали идею о совместном проведении олимпиады (60%). Мнения вузовского сообщества и </w:t>
      </w:r>
      <w:r>
        <w:rPr>
          <w:rFonts w:ascii="Times New Roman" w:hAnsi="Times New Roman"/>
          <w:sz w:val="24"/>
        </w:rPr>
        <w:t>представителей</w:t>
      </w:r>
      <w:r>
        <w:rPr>
          <w:rFonts w:ascii="Times New Roman" w:hAnsi="Times New Roman"/>
          <w:sz w:val="24"/>
        </w:rPr>
        <w:t xml:space="preserve"> органов статистики практически сошлись относительно </w:t>
      </w:r>
      <w:r>
        <w:rPr>
          <w:rFonts w:ascii="Times New Roman" w:hAnsi="Times New Roman"/>
          <w:sz w:val="24"/>
        </w:rPr>
        <w:t>формата первенства на олимпиаде – личное и командное первенство поддержали 93% и 85%, соответственно. Также мнения практически совпали относительно необходимости составления теоретических и практических заданий для конкурных мероприятий олимпиады: 78% от представителей вуза и 90% от представителей ТОГС.</w:t>
      </w:r>
    </w:p>
    <w:p w14:paraId="0C000000">
      <w:pPr>
        <w:spacing w:line="360" w:lineRule="auto"/>
        <w:ind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Распределение ответов на в</w:t>
      </w:r>
      <w:r>
        <w:rPr>
          <w:rFonts w:ascii="Times New Roman" w:hAnsi="Times New Roman"/>
          <w:sz w:val="24"/>
        </w:rPr>
        <w:t xml:space="preserve">опрос </w:t>
      </w:r>
      <w:r>
        <w:rPr>
          <w:rFonts w:ascii="Times New Roman" w:hAnsi="Times New Roman"/>
          <w:sz w:val="24"/>
        </w:rPr>
        <w:t xml:space="preserve">об </w:t>
      </w:r>
      <w:r>
        <w:rPr>
          <w:rFonts w:ascii="Times New Roman" w:hAnsi="Times New Roman"/>
          <w:sz w:val="24"/>
        </w:rPr>
        <w:t xml:space="preserve">этичности </w:t>
      </w:r>
      <w:r>
        <w:rPr>
          <w:rFonts w:ascii="Times New Roman" w:hAnsi="Times New Roman"/>
          <w:sz w:val="24"/>
        </w:rPr>
        <w:t xml:space="preserve">участия в олимпиаде студентов вуза-организатора было практически одинаковым у представителей высшей школы и ТОГС (63% и 65%, соответственно). Многие (до 30%) из респондентов давали комментарий, что можно </w:t>
      </w:r>
      <w:r>
        <w:rPr>
          <w:rFonts w:ascii="Times New Roman" w:hAnsi="Times New Roman"/>
          <w:sz w:val="24"/>
        </w:rPr>
        <w:t xml:space="preserve">привлекать к участию в олимпиаде студентов вуза-организатора, но </w:t>
      </w:r>
      <w:r>
        <w:rPr>
          <w:rFonts w:ascii="Times New Roman" w:hAnsi="Times New Roman"/>
          <w:sz w:val="24"/>
        </w:rPr>
        <w:t xml:space="preserve">при соблюдении ряда условий, например, </w:t>
      </w:r>
      <w:r>
        <w:rPr>
          <w:rFonts w:ascii="Times New Roman" w:hAnsi="Times New Roman"/>
          <w:sz w:val="24"/>
        </w:rPr>
        <w:t>организации независимого жюри или невозможности принятия участия в качестве разработчика заданий и судейства куратора команды студентов-участников.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вопросе о </w:t>
      </w:r>
      <w:r>
        <w:rPr>
          <w:rFonts w:ascii="Times New Roman" w:hAnsi="Times New Roman"/>
          <w:sz w:val="24"/>
        </w:rPr>
        <w:t>допустимо</w:t>
      </w:r>
      <w:r>
        <w:rPr>
          <w:rFonts w:ascii="Times New Roman" w:hAnsi="Times New Roman"/>
          <w:sz w:val="24"/>
        </w:rPr>
        <w:t>сти</w:t>
      </w:r>
      <w:r>
        <w:rPr>
          <w:rFonts w:ascii="Times New Roman" w:hAnsi="Times New Roman"/>
          <w:sz w:val="24"/>
        </w:rPr>
        <w:t xml:space="preserve"> использовани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участниками олимпиады сервисов искусственного </w:t>
      </w:r>
      <w:r>
        <w:rPr>
          <w:rFonts w:ascii="Times New Roman" w:hAnsi="Times New Roman"/>
          <w:sz w:val="24"/>
        </w:rPr>
        <w:t>интеллекта при решении конкурсных задач</w:t>
      </w:r>
      <w:r>
        <w:rPr>
          <w:rFonts w:ascii="Times New Roman" w:hAnsi="Times New Roman"/>
          <w:sz w:val="24"/>
        </w:rPr>
        <w:t xml:space="preserve"> мнения респондентов со стороны университетов и ТОГС совпали: треть считала, что можно, остальные что недопустимо. Давая комментарий о допустимом объеме использования сервисов ИИ, практически все ответили о возможности интеллектуального поиска источников.</w:t>
      </w:r>
    </w:p>
    <w:p w14:paraId="0D000000">
      <w:pPr>
        <w:spacing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в</w:t>
      </w:r>
      <w:r>
        <w:rPr>
          <w:rFonts w:ascii="Times New Roman" w:hAnsi="Times New Roman"/>
          <w:sz w:val="24"/>
        </w:rPr>
        <w:t>опрос</w:t>
      </w:r>
      <w:r>
        <w:rPr>
          <w:rFonts w:ascii="Times New Roman" w:hAnsi="Times New Roman"/>
          <w:sz w:val="24"/>
        </w:rPr>
        <w:t>ах</w:t>
      </w:r>
      <w:r>
        <w:rPr>
          <w:rFonts w:ascii="Times New Roman" w:hAnsi="Times New Roman"/>
          <w:sz w:val="24"/>
        </w:rPr>
        <w:t xml:space="preserve"> финансирования проведения олимпиады</w:t>
      </w:r>
      <w:r>
        <w:rPr>
          <w:rFonts w:ascii="Times New Roman" w:hAnsi="Times New Roman"/>
          <w:sz w:val="24"/>
        </w:rPr>
        <w:t xml:space="preserve"> мнения вузовского сообщества и </w:t>
      </w:r>
      <w:r>
        <w:rPr>
          <w:rFonts w:ascii="Times New Roman" w:hAnsi="Times New Roman"/>
          <w:sz w:val="24"/>
        </w:rPr>
        <w:t xml:space="preserve">сообщества </w:t>
      </w:r>
      <w:r>
        <w:rPr>
          <w:rFonts w:ascii="Times New Roman" w:hAnsi="Times New Roman"/>
          <w:sz w:val="24"/>
        </w:rPr>
        <w:t>официально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 статисти</w:t>
      </w:r>
      <w:r>
        <w:rPr>
          <w:rFonts w:ascii="Times New Roman" w:hAnsi="Times New Roman"/>
          <w:sz w:val="24"/>
        </w:rPr>
        <w:t>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азделились</w:t>
      </w:r>
      <w:r>
        <w:rPr>
          <w:rFonts w:ascii="Times New Roman" w:hAnsi="Times New Roman"/>
          <w:sz w:val="24"/>
        </w:rPr>
        <w:t xml:space="preserve"> (р=0,086)</w:t>
      </w:r>
      <w:r>
        <w:rPr>
          <w:rFonts w:ascii="Times New Roman" w:hAnsi="Times New Roman"/>
          <w:sz w:val="24"/>
        </w:rPr>
        <w:t xml:space="preserve">. Так идею о выделении вузом-организатором олимпиады собственных средств на ее проведение и приглашение участников поддержали 22% представителей вуза и 45% представителей ТОГС, выделение средств только на проведение поддержали 52% вузовских сотрудников и лишь 30% сотрудников органов статистики. Во многом это объясняется механизмом финансирования мероприятий со стороны вуза, с которым лучше знакомы представители </w:t>
      </w:r>
      <w:r>
        <w:rPr>
          <w:rFonts w:ascii="Times New Roman" w:hAnsi="Times New Roman"/>
          <w:sz w:val="24"/>
        </w:rPr>
        <w:t>университетов</w:t>
      </w:r>
      <w:r>
        <w:rPr>
          <w:rFonts w:ascii="Times New Roman" w:hAnsi="Times New Roman"/>
          <w:sz w:val="24"/>
        </w:rPr>
        <w:t xml:space="preserve">, и понимают, все сложности, возникающие при финансировании приглашения участников. Примечательно, что никто из представителей </w:t>
      </w:r>
      <w:r>
        <w:rPr>
          <w:rFonts w:ascii="Times New Roman" w:hAnsi="Times New Roman"/>
          <w:sz w:val="24"/>
        </w:rPr>
        <w:t>высшей школы</w:t>
      </w:r>
      <w:r>
        <w:rPr>
          <w:rFonts w:ascii="Times New Roman" w:hAnsi="Times New Roman"/>
          <w:sz w:val="24"/>
        </w:rPr>
        <w:t xml:space="preserve"> не выбрал в качестве ответа о финансировании олимпиады спонсорскую помощь, тогда как </w:t>
      </w:r>
      <w:r>
        <w:rPr>
          <w:rFonts w:ascii="Times New Roman" w:hAnsi="Times New Roman"/>
          <w:sz w:val="24"/>
        </w:rPr>
        <w:t xml:space="preserve">из </w:t>
      </w:r>
      <w:r>
        <w:rPr>
          <w:rFonts w:ascii="Times New Roman" w:hAnsi="Times New Roman"/>
          <w:sz w:val="24"/>
        </w:rPr>
        <w:t>представител</w:t>
      </w:r>
      <w:r>
        <w:rPr>
          <w:rFonts w:ascii="Times New Roman" w:hAnsi="Times New Roman"/>
          <w:sz w:val="24"/>
        </w:rPr>
        <w:t>ей</w:t>
      </w:r>
      <w:r>
        <w:rPr>
          <w:rFonts w:ascii="Times New Roman" w:hAnsi="Times New Roman"/>
          <w:sz w:val="24"/>
        </w:rPr>
        <w:t xml:space="preserve"> ТОГС так </w:t>
      </w:r>
      <w:r>
        <w:rPr>
          <w:rFonts w:ascii="Times New Roman" w:hAnsi="Times New Roman"/>
          <w:sz w:val="24"/>
        </w:rPr>
        <w:t xml:space="preserve">ответили в 15%. </w:t>
      </w:r>
      <w:r>
        <w:rPr>
          <w:rFonts w:ascii="Times New Roman" w:hAnsi="Times New Roman"/>
          <w:sz w:val="24"/>
        </w:rPr>
        <w:t>На вопрос «</w:t>
      </w:r>
      <w:r>
        <w:rPr>
          <w:rFonts w:ascii="Times New Roman" w:hAnsi="Times New Roman"/>
          <w:sz w:val="24"/>
        </w:rPr>
        <w:t>Какие источники финансирования участия в очных олимпиадах доступны для ваших студентов?</w:t>
      </w:r>
      <w:r>
        <w:rPr>
          <w:rFonts w:ascii="Times New Roman" w:hAnsi="Times New Roman"/>
          <w:sz w:val="24"/>
        </w:rPr>
        <w:t xml:space="preserve">» представители вузов ответили, что в основном это собственные средства самих участников (37%), в 30% доступны средства, выделяемые вузом и в </w:t>
      </w:r>
      <w:r>
        <w:rPr>
          <w:rFonts w:ascii="Times New Roman" w:hAnsi="Times New Roman"/>
          <w:sz w:val="24"/>
        </w:rPr>
        <w:t>11% средства</w:t>
      </w:r>
      <w:r>
        <w:rPr>
          <w:rFonts w:ascii="Times New Roman" w:hAnsi="Times New Roman"/>
          <w:sz w:val="24"/>
        </w:rPr>
        <w:t>, выделяемые структурным подразделением (кафедрой или деканатом)</w:t>
      </w:r>
      <w:r>
        <w:rPr>
          <w:rFonts w:ascii="Times New Roman" w:hAnsi="Times New Roman"/>
          <w:sz w:val="24"/>
        </w:rPr>
        <w:t>. Что касается ответов представителей ТОГС на этот вопрос, то в 30% был получен комментарий о том, что они точно не могут ответить на этот вопрос, но при этом в 3% считают, что для участников доступны средства вуза.</w:t>
      </w:r>
    </w:p>
    <w:p w14:paraId="0E000000">
      <w:pPr>
        <w:spacing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касается предполагаемой мотивации участия студентов в статистических студенческих олимпиадах</w:t>
      </w:r>
      <w:r>
        <w:rPr>
          <w:rFonts w:ascii="Times New Roman" w:hAnsi="Times New Roman"/>
          <w:sz w:val="24"/>
        </w:rPr>
        <w:t>, то как по мнению вузовского сообщества, так и по мнению представителей органов государственной статистики, в основном студентами движет желание получить дополнительные баллы при аттестации дисциплины (33,3% и 50% ответов, соответственно), на втором месте по популярности ответ, что студентам важно признание и социальная мотивация (29</w:t>
      </w:r>
      <w:r>
        <w:rPr>
          <w:rFonts w:ascii="Times New Roman" w:hAnsi="Times New Roman"/>
          <w:sz w:val="24"/>
        </w:rPr>
        <w:t xml:space="preserve">% и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0% ответов, соответственно)</w:t>
      </w:r>
      <w:r>
        <w:rPr>
          <w:rFonts w:ascii="Times New Roman" w:hAnsi="Times New Roman"/>
          <w:sz w:val="24"/>
        </w:rPr>
        <w:t xml:space="preserve">, считают, что студентами движет желание </w:t>
      </w:r>
      <w:r>
        <w:rPr>
          <w:rFonts w:ascii="Times New Roman" w:hAnsi="Times New Roman"/>
          <w:sz w:val="24"/>
        </w:rPr>
        <w:t>проверить и повысить свои знания и умения</w:t>
      </w:r>
      <w:r>
        <w:rPr>
          <w:rFonts w:ascii="Times New Roman" w:hAnsi="Times New Roman"/>
          <w:sz w:val="24"/>
        </w:rPr>
        <w:t xml:space="preserve"> лишь 18,5% и 15%, </w:t>
      </w:r>
      <w:r>
        <w:rPr>
          <w:rFonts w:ascii="Times New Roman" w:hAnsi="Times New Roman"/>
          <w:sz w:val="24"/>
        </w:rPr>
        <w:t>соответственно</w:t>
      </w:r>
      <w:r>
        <w:rPr>
          <w:rFonts w:ascii="Times New Roman" w:hAnsi="Times New Roman"/>
          <w:sz w:val="24"/>
        </w:rPr>
        <w:t>.</w:t>
      </w:r>
    </w:p>
    <w:p w14:paraId="0F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Таблица. Распределение частоты ответов </w:t>
      </w:r>
      <w:r>
        <w:rPr>
          <w:rFonts w:ascii="Times New Roman" w:hAnsi="Times New Roman"/>
          <w:b w:val="1"/>
          <w:sz w:val="24"/>
        </w:rPr>
        <w:t xml:space="preserve">на вопросы анкеты по </w:t>
      </w:r>
      <w:r>
        <w:rPr>
          <w:rFonts w:ascii="Times New Roman" w:hAnsi="Times New Roman"/>
          <w:b w:val="1"/>
          <w:sz w:val="24"/>
        </w:rPr>
        <w:t>студенческому статистическому олимпиадному движению</w:t>
      </w:r>
    </w:p>
    <w:tbl>
      <w:tblPr>
        <w:tblStyle w:val="Style_1"/>
        <w:tblLayout w:type="fixed"/>
      </w:tblPr>
      <w:tblGrid>
        <w:gridCol w:w="3494"/>
        <w:gridCol w:w="2365"/>
        <w:gridCol w:w="2364"/>
        <w:gridCol w:w="1131"/>
      </w:tblGrid>
      <w:tr>
        <w:trPr>
          <w:trHeight w:hRule="atLeast" w:val="1023"/>
          <w:hidden w:val="0"/>
        </w:trPr>
        <w:tc>
          <w:tcPr>
            <w:tcW w:type="dxa" w:w="3494"/>
            <w:vAlign w:val="center"/>
          </w:tcPr>
          <w:p w14:paraId="1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 анкеты</w:t>
            </w:r>
          </w:p>
        </w:tc>
        <w:tc>
          <w:tcPr>
            <w:tcW w:type="dxa" w:w="2365"/>
            <w:vAlign w:val="center"/>
          </w:tcPr>
          <w:p w14:paraId="1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Представители вузов (</w:t>
            </w:r>
            <w:r>
              <w:rPr>
                <w:rFonts w:ascii="Times New Roman" w:hAnsi="Times New Roman"/>
                <w:sz w:val="24"/>
              </w:rPr>
              <w:t>n=</w:t>
            </w:r>
            <w:r>
              <w:rPr>
                <w:rFonts w:ascii="Times New Roman" w:hAnsi="Times New Roman"/>
                <w:sz w:val="24"/>
              </w:rPr>
              <w:t>27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2364"/>
            <w:vAlign w:val="center"/>
          </w:tcPr>
          <w:p w14:paraId="1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Представители ТОГС (</w:t>
            </w:r>
            <w:r>
              <w:rPr>
                <w:rFonts w:ascii="Times New Roman" w:hAnsi="Times New Roman"/>
                <w:sz w:val="24"/>
              </w:rPr>
              <w:t>n=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1131"/>
            <w:vAlign w:val="center"/>
          </w:tcPr>
          <w:p w14:paraId="1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-уровень</w:t>
            </w:r>
          </w:p>
        </w:tc>
      </w:tr>
      <w:tr>
        <w:tc>
          <w:tcPr>
            <w:tcW w:type="dxa" w:w="3494"/>
            <w:vAlign w:val="center"/>
          </w:tcPr>
          <w:p w14:paraId="14000000">
            <w:pPr>
              <w:rPr>
                <w:rFonts w:ascii="Times New Roman" w:hAnsi="Times New Roman"/>
                <w:sz w:val="24"/>
              </w:rPr>
            </w:pPr>
          </w:p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Вы считаете нужно ли проводить олимпиады для студентов по статистике отдельно?</w:t>
            </w:r>
          </w:p>
          <w:p w14:paraId="1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65"/>
            <w:vAlign w:val="center"/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 –</w:t>
            </w:r>
            <w:r>
              <w:rPr>
                <w:rFonts w:ascii="Times New Roman" w:hAnsi="Times New Roman"/>
                <w:sz w:val="24"/>
              </w:rPr>
              <w:t xml:space="preserve"> 25 (92,6%)</w:t>
            </w:r>
          </w:p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– 1 </w:t>
            </w:r>
            <w:r>
              <w:rPr>
                <w:rFonts w:ascii="Times New Roman" w:hAnsi="Times New Roman"/>
                <w:sz w:val="24"/>
              </w:rPr>
              <w:t>(3,7%)</w:t>
            </w:r>
          </w:p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Свой ответ – 1 (3,7%) </w:t>
            </w:r>
          </w:p>
        </w:tc>
        <w:tc>
          <w:tcPr>
            <w:tcW w:type="dxa" w:w="2364"/>
            <w:vAlign w:val="center"/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 –</w:t>
            </w:r>
            <w:r>
              <w:rPr>
                <w:rFonts w:ascii="Times New Roman" w:hAnsi="Times New Roman"/>
                <w:sz w:val="24"/>
              </w:rPr>
              <w:t xml:space="preserve"> 17 (85%)</w:t>
            </w:r>
          </w:p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  <w:r>
              <w:rPr>
                <w:rFonts w:ascii="Times New Roman" w:hAnsi="Times New Roman"/>
                <w:sz w:val="24"/>
              </w:rPr>
              <w:t xml:space="preserve"> – 3 (15%)</w:t>
            </w:r>
          </w:p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 ответ – 0 (0%)</w:t>
            </w:r>
          </w:p>
        </w:tc>
        <w:tc>
          <w:tcPr>
            <w:tcW w:type="dxa" w:w="1131"/>
            <w:vAlign w:val="center"/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0,282</w:t>
            </w:r>
          </w:p>
        </w:tc>
      </w:tr>
      <w:tr>
        <w:tc>
          <w:tcPr>
            <w:tcW w:type="dxa" w:w="3494"/>
            <w:vAlign w:val="center"/>
          </w:tcPr>
          <w:p w14:paraId="1E000000">
            <w:pPr>
              <w:rPr>
                <w:rFonts w:ascii="Times New Roman" w:hAnsi="Times New Roman"/>
                <w:sz w:val="24"/>
              </w:rPr>
            </w:pPr>
          </w:p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Вы считаете, какой из форматов проведения олимпиады по статистике предпочтителен?</w:t>
            </w:r>
          </w:p>
          <w:p w14:paraId="2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65"/>
            <w:vAlign w:val="center"/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 –</w:t>
            </w:r>
            <w:r>
              <w:rPr>
                <w:rFonts w:ascii="Times New Roman" w:hAnsi="Times New Roman"/>
                <w:sz w:val="24"/>
              </w:rPr>
              <w:t>11 (40,7%)</w:t>
            </w:r>
          </w:p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Офлайн – </w:t>
            </w:r>
            <w:r>
              <w:rPr>
                <w:rFonts w:ascii="Times New Roman" w:hAnsi="Times New Roman"/>
                <w:sz w:val="24"/>
              </w:rPr>
              <w:t>11 (40,7%)</w:t>
            </w:r>
          </w:p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Заочный – </w:t>
            </w:r>
            <w:r>
              <w:rPr>
                <w:rFonts w:ascii="Times New Roman" w:hAnsi="Times New Roman"/>
                <w:sz w:val="24"/>
              </w:rPr>
              <w:t>4 (14,8%)</w:t>
            </w:r>
          </w:p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 ответ –</w:t>
            </w:r>
            <w:r>
              <w:rPr>
                <w:rFonts w:ascii="Times New Roman" w:hAnsi="Times New Roman"/>
                <w:sz w:val="24"/>
              </w:rPr>
              <w:t xml:space="preserve"> 1(</w:t>
            </w:r>
            <w:r>
              <w:rPr>
                <w:rFonts w:ascii="Times New Roman" w:hAnsi="Times New Roman"/>
                <w:sz w:val="24"/>
              </w:rPr>
              <w:t>3,7%)</w:t>
            </w:r>
          </w:p>
        </w:tc>
        <w:tc>
          <w:tcPr>
            <w:tcW w:type="dxa" w:w="2364"/>
            <w:vAlign w:val="center"/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 –</w:t>
            </w:r>
            <w:r>
              <w:rPr>
                <w:rFonts w:ascii="Times New Roman" w:hAnsi="Times New Roman"/>
                <w:sz w:val="24"/>
              </w:rPr>
              <w:t xml:space="preserve"> 11 (55%)</w:t>
            </w:r>
          </w:p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Офлайн – </w:t>
            </w:r>
            <w:r>
              <w:rPr>
                <w:rFonts w:ascii="Times New Roman" w:hAnsi="Times New Roman"/>
                <w:sz w:val="24"/>
              </w:rPr>
              <w:t>3 (15%)</w:t>
            </w:r>
          </w:p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Заочный – </w:t>
            </w:r>
            <w:r>
              <w:rPr>
                <w:rFonts w:ascii="Times New Roman" w:hAnsi="Times New Roman"/>
                <w:sz w:val="24"/>
              </w:rPr>
              <w:t>6 (30%)</w:t>
            </w:r>
          </w:p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 ответ –</w:t>
            </w:r>
            <w:r>
              <w:rPr>
                <w:rFonts w:ascii="Times New Roman" w:hAnsi="Times New Roman"/>
                <w:sz w:val="24"/>
              </w:rPr>
              <w:t xml:space="preserve"> 0 (0%)</w:t>
            </w:r>
          </w:p>
        </w:tc>
        <w:tc>
          <w:tcPr>
            <w:tcW w:type="dxa" w:w="1131"/>
            <w:vAlign w:val="center"/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0,169</w:t>
            </w:r>
          </w:p>
        </w:tc>
      </w:tr>
      <w:tr>
        <w:tc>
          <w:tcPr>
            <w:tcW w:type="dxa" w:w="3494"/>
            <w:vAlign w:val="center"/>
          </w:tcPr>
          <w:p w14:paraId="2A000000">
            <w:pPr>
              <w:rPr>
                <w:rFonts w:ascii="Times New Roman" w:hAnsi="Times New Roman"/>
                <w:sz w:val="24"/>
              </w:rPr>
            </w:pPr>
          </w:p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Вы считаете, можно ли бакалаврам и магистрантам принимать участие в одних и тех олимпиадных мероприятиях, или стоит их проводить отдельно?</w:t>
            </w:r>
          </w:p>
          <w:p w14:paraId="2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65"/>
            <w:vAlign w:val="center"/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Бакалавры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3 (11,1%)</w:t>
            </w:r>
          </w:p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Магистры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1 </w:t>
            </w:r>
            <w:r>
              <w:rPr>
                <w:rFonts w:ascii="Times New Roman" w:hAnsi="Times New Roman"/>
                <w:sz w:val="24"/>
              </w:rPr>
              <w:t>(3,7%)</w:t>
            </w:r>
          </w:p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Отдельно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17 (63%)</w:t>
            </w:r>
          </w:p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Вместе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 (22,2%)</w:t>
            </w:r>
          </w:p>
        </w:tc>
        <w:tc>
          <w:tcPr>
            <w:tcW w:type="dxa" w:w="2364"/>
            <w:vAlign w:val="center"/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Бакалавры –</w:t>
            </w:r>
            <w:r>
              <w:rPr>
                <w:rFonts w:ascii="Times New Roman" w:hAnsi="Times New Roman"/>
                <w:sz w:val="24"/>
              </w:rPr>
              <w:t xml:space="preserve"> 0 (%)</w:t>
            </w:r>
          </w:p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Магистранты –</w:t>
            </w:r>
            <w:r>
              <w:rPr>
                <w:rFonts w:ascii="Times New Roman" w:hAnsi="Times New Roman"/>
                <w:sz w:val="24"/>
              </w:rPr>
              <w:t xml:space="preserve"> 0 (%)</w:t>
            </w:r>
          </w:p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Отдельно –</w:t>
            </w:r>
            <w:r>
              <w:rPr>
                <w:rFonts w:ascii="Times New Roman" w:hAnsi="Times New Roman"/>
                <w:sz w:val="24"/>
              </w:rPr>
              <w:t xml:space="preserve"> 8 (40%)</w:t>
            </w:r>
          </w:p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Вместе – </w:t>
            </w:r>
            <w:r>
              <w:rPr>
                <w:rFonts w:ascii="Times New Roman" w:hAnsi="Times New Roman"/>
                <w:sz w:val="24"/>
              </w:rPr>
              <w:t>12 (60%)</w:t>
            </w:r>
          </w:p>
        </w:tc>
        <w:tc>
          <w:tcPr>
            <w:tcW w:type="dxa" w:w="1131"/>
            <w:vAlign w:val="center"/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0,039*</w:t>
            </w:r>
          </w:p>
        </w:tc>
      </w:tr>
      <w:tr>
        <w:tc>
          <w:tcPr>
            <w:tcW w:type="dxa" w:w="3494"/>
            <w:vAlign w:val="center"/>
          </w:tcPr>
          <w:p w14:paraId="36000000">
            <w:pPr>
              <w:rPr>
                <w:rFonts w:ascii="Times New Roman" w:hAnsi="Times New Roman"/>
                <w:sz w:val="24"/>
              </w:rPr>
            </w:pPr>
          </w:p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Вы считаете в олимпиаде по статистике должно быть личное или командное первенство?</w:t>
            </w:r>
          </w:p>
          <w:p w14:paraId="3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65"/>
            <w:vAlign w:val="center"/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Личное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2 (7,4%)</w:t>
            </w:r>
          </w:p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Командное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 (0%)</w:t>
            </w:r>
          </w:p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Оба варианта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25 (92,6%)</w:t>
            </w:r>
          </w:p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Свой ответ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0 (0%)</w:t>
            </w:r>
          </w:p>
        </w:tc>
        <w:tc>
          <w:tcPr>
            <w:tcW w:type="dxa" w:w="2364"/>
            <w:vAlign w:val="center"/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Личное –</w:t>
            </w:r>
            <w:r>
              <w:rPr>
                <w:rFonts w:ascii="Times New Roman" w:hAnsi="Times New Roman"/>
                <w:sz w:val="24"/>
              </w:rPr>
              <w:t xml:space="preserve"> 2 (10%)</w:t>
            </w:r>
          </w:p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Командное – </w:t>
            </w:r>
            <w:r>
              <w:rPr>
                <w:rFonts w:ascii="Times New Roman" w:hAnsi="Times New Roman"/>
                <w:sz w:val="24"/>
              </w:rPr>
              <w:t>1 (5%)</w:t>
            </w:r>
          </w:p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Оба варианта –</w:t>
            </w:r>
            <w:r>
              <w:rPr>
                <w:rFonts w:ascii="Times New Roman" w:hAnsi="Times New Roman"/>
                <w:sz w:val="24"/>
              </w:rPr>
              <w:t>17 (85%)</w:t>
            </w:r>
          </w:p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 ответ –</w:t>
            </w:r>
            <w:r>
              <w:rPr>
                <w:rFonts w:ascii="Times New Roman" w:hAnsi="Times New Roman"/>
                <w:sz w:val="24"/>
              </w:rPr>
              <w:t>0 (0%)</w:t>
            </w:r>
          </w:p>
        </w:tc>
        <w:tc>
          <w:tcPr>
            <w:tcW w:type="dxa" w:w="1131"/>
            <w:vAlign w:val="center"/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0,469</w:t>
            </w:r>
          </w:p>
        </w:tc>
      </w:tr>
      <w:tr>
        <w:tc>
          <w:tcPr>
            <w:tcW w:type="dxa" w:w="3494"/>
            <w:vAlign w:val="center"/>
          </w:tcPr>
          <w:p w14:paraId="42000000">
            <w:pPr>
              <w:rPr>
                <w:rFonts w:ascii="Times New Roman" w:hAnsi="Times New Roman"/>
                <w:sz w:val="24"/>
              </w:rPr>
            </w:pPr>
          </w:p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Вы считаете этично ли выставлять на конкурсные мероприятия олимпиады участников от вуза-организатора ее проведения?</w:t>
            </w:r>
          </w:p>
          <w:p w14:paraId="4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65"/>
            <w:vAlign w:val="center"/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 –</w:t>
            </w:r>
            <w:r>
              <w:rPr>
                <w:rFonts w:ascii="Times New Roman" w:hAnsi="Times New Roman"/>
                <w:sz w:val="24"/>
              </w:rPr>
              <w:t xml:space="preserve"> 17 (63%)</w:t>
            </w:r>
          </w:p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  <w:r>
              <w:rPr>
                <w:rFonts w:ascii="Times New Roman" w:hAnsi="Times New Roman"/>
                <w:sz w:val="24"/>
              </w:rPr>
              <w:t xml:space="preserve"> – 7 (25,9%)</w:t>
            </w:r>
          </w:p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Свой ответ – </w:t>
            </w:r>
            <w:r>
              <w:rPr>
                <w:rFonts w:ascii="Times New Roman" w:hAnsi="Times New Roman"/>
                <w:sz w:val="24"/>
              </w:rPr>
              <w:t>3 (11,1%)</w:t>
            </w:r>
          </w:p>
        </w:tc>
        <w:tc>
          <w:tcPr>
            <w:tcW w:type="dxa" w:w="2364"/>
            <w:vAlign w:val="center"/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 –</w:t>
            </w:r>
            <w:r>
              <w:rPr>
                <w:rFonts w:ascii="Times New Roman" w:hAnsi="Times New Roman"/>
                <w:sz w:val="24"/>
              </w:rPr>
              <w:t>13 (65%)</w:t>
            </w:r>
          </w:p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  <w:r>
              <w:rPr>
                <w:rFonts w:ascii="Times New Roman" w:hAnsi="Times New Roman"/>
                <w:sz w:val="24"/>
              </w:rPr>
              <w:t xml:space="preserve"> – 7 (35%)</w:t>
            </w:r>
          </w:p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Свой ответ – </w:t>
            </w:r>
            <w:r>
              <w:rPr>
                <w:rFonts w:ascii="Times New Roman" w:hAnsi="Times New Roman"/>
                <w:sz w:val="24"/>
              </w:rPr>
              <w:t>0 (0%)</w:t>
            </w:r>
          </w:p>
        </w:tc>
        <w:tc>
          <w:tcPr>
            <w:tcW w:type="dxa" w:w="1131"/>
            <w:vAlign w:val="center"/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0,280</w:t>
            </w:r>
          </w:p>
        </w:tc>
      </w:tr>
      <w:tr>
        <w:tc>
          <w:tcPr>
            <w:tcW w:type="dxa" w:w="3494"/>
            <w:vAlign w:val="center"/>
          </w:tcPr>
          <w:p w14:paraId="4C000000">
            <w:pPr>
              <w:rPr>
                <w:rFonts w:ascii="Times New Roman" w:hAnsi="Times New Roman"/>
                <w:sz w:val="24"/>
              </w:rPr>
            </w:pPr>
          </w:p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Вы считаете в олимпиаде по статистке должны быть задания:</w:t>
            </w:r>
          </w:p>
          <w:p w14:paraId="4E000000">
            <w:pPr>
              <w:rPr>
                <w:rFonts w:ascii="Times New Roman" w:hAnsi="Times New Roman"/>
                <w:sz w:val="24"/>
              </w:rPr>
            </w:pPr>
          </w:p>
          <w:p w14:paraId="4F000000">
            <w:pPr>
              <w:rPr>
                <w:rFonts w:ascii="Times New Roman" w:hAnsi="Times New Roman"/>
                <w:sz w:val="24"/>
              </w:rPr>
            </w:pPr>
          </w:p>
          <w:p w14:paraId="5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65"/>
            <w:vAlign w:val="center"/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Теоретические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0 (0%)</w:t>
            </w:r>
          </w:p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Практические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6 (22,2%)</w:t>
            </w:r>
          </w:p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Оба варианта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21 (77,8%)</w:t>
            </w:r>
          </w:p>
        </w:tc>
        <w:tc>
          <w:tcPr>
            <w:tcW w:type="dxa" w:w="2364"/>
            <w:vAlign w:val="center"/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Теоретические –</w:t>
            </w:r>
            <w:r>
              <w:rPr>
                <w:rFonts w:ascii="Times New Roman" w:hAnsi="Times New Roman"/>
                <w:sz w:val="24"/>
              </w:rPr>
              <w:t>0 (0%)</w:t>
            </w:r>
          </w:p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–</w:t>
            </w:r>
            <w:r>
              <w:rPr>
                <w:rFonts w:ascii="Times New Roman" w:hAnsi="Times New Roman"/>
                <w:sz w:val="24"/>
              </w:rPr>
              <w:t xml:space="preserve"> 2 (10%)</w:t>
            </w:r>
          </w:p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Оба варианта –</w:t>
            </w:r>
            <w:r>
              <w:rPr>
                <w:rFonts w:ascii="Times New Roman" w:hAnsi="Times New Roman"/>
                <w:sz w:val="24"/>
              </w:rPr>
              <w:t xml:space="preserve"> 18 (90%)</w:t>
            </w:r>
          </w:p>
        </w:tc>
        <w:tc>
          <w:tcPr>
            <w:tcW w:type="dxa" w:w="1131"/>
            <w:vAlign w:val="center"/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0,271</w:t>
            </w:r>
          </w:p>
        </w:tc>
      </w:tr>
      <w:tr>
        <w:tc>
          <w:tcPr>
            <w:tcW w:type="dxa" w:w="3494"/>
            <w:vAlign w:val="center"/>
          </w:tcPr>
          <w:p w14:paraId="58000000">
            <w:pPr>
              <w:rPr>
                <w:rFonts w:ascii="Times New Roman" w:hAnsi="Times New Roman"/>
                <w:sz w:val="24"/>
              </w:rPr>
            </w:pPr>
          </w:p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Вы считаете должны ли вузы выделять средства на проведение олимпиад по статистике?</w:t>
            </w:r>
          </w:p>
        </w:tc>
        <w:tc>
          <w:tcPr>
            <w:tcW w:type="dxa" w:w="2365"/>
            <w:vAlign w:val="center"/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  <w:r>
              <w:rPr>
                <w:rFonts w:ascii="Times New Roman" w:hAnsi="Times New Roman"/>
                <w:sz w:val="24"/>
              </w:rPr>
              <w:t>, (проведение и приглашение участников) - 6 (22,2%)</w:t>
            </w:r>
          </w:p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Да, (проведение) - </w:t>
            </w: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(51,9%)</w:t>
            </w:r>
          </w:p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участников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3 (11,1 %)</w:t>
            </w:r>
          </w:p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Свой ответ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4 (14,8%)</w:t>
            </w:r>
          </w:p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Спонсоры – 0 (0%)</w:t>
            </w:r>
          </w:p>
        </w:tc>
        <w:tc>
          <w:tcPr>
            <w:tcW w:type="dxa" w:w="2364"/>
            <w:vAlign w:val="center"/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Да, (проведение и приглашение участников)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9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45</w:t>
            </w:r>
            <w:r>
              <w:rPr>
                <w:rFonts w:ascii="Times New Roman" w:hAnsi="Times New Roman"/>
                <w:sz w:val="24"/>
              </w:rPr>
              <w:t>%)</w:t>
            </w:r>
          </w:p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Да, (проведение) - 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%)</w:t>
            </w:r>
          </w:p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участников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 xml:space="preserve"> %)</w:t>
            </w:r>
          </w:p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Свой ответ  –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%)</w:t>
            </w:r>
          </w:p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Спонсоры – 3 (15%)</w:t>
            </w:r>
          </w:p>
        </w:tc>
        <w:tc>
          <w:tcPr>
            <w:tcW w:type="dxa" w:w="1131"/>
            <w:vAlign w:val="center"/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0,086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</w:tr>
      <w:tr>
        <w:tc>
          <w:tcPr>
            <w:tcW w:type="dxa" w:w="3494"/>
            <w:vAlign w:val="center"/>
          </w:tcPr>
          <w:p w14:paraId="65000000">
            <w:pPr>
              <w:rPr>
                <w:rFonts w:ascii="Times New Roman" w:hAnsi="Times New Roman"/>
                <w:sz w:val="24"/>
              </w:rPr>
            </w:pPr>
          </w:p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Вы считаете допустимо ли использование участниками олимпиады сервисов искусственного интеллекта при решении конкурсных задач?</w:t>
            </w:r>
          </w:p>
          <w:p w14:paraId="6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65"/>
            <w:vAlign w:val="center"/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 – </w:t>
            </w:r>
            <w:r>
              <w:rPr>
                <w:rFonts w:ascii="Times New Roman" w:hAnsi="Times New Roman"/>
                <w:sz w:val="24"/>
              </w:rPr>
              <w:t>8 (29,6%)</w:t>
            </w:r>
          </w:p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– </w:t>
            </w:r>
            <w:r>
              <w:rPr>
                <w:rFonts w:ascii="Times New Roman" w:hAnsi="Times New Roman"/>
                <w:sz w:val="24"/>
              </w:rPr>
              <w:t>19 (70,4%)</w:t>
            </w:r>
          </w:p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Свой ответ – </w:t>
            </w:r>
            <w:r>
              <w:rPr>
                <w:rFonts w:ascii="Times New Roman" w:hAnsi="Times New Roman"/>
                <w:sz w:val="24"/>
              </w:rPr>
              <w:t>0 (0%)</w:t>
            </w:r>
          </w:p>
          <w:p w14:paraId="6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64"/>
            <w:vAlign w:val="center"/>
          </w:tcPr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 – </w:t>
            </w:r>
            <w:r>
              <w:rPr>
                <w:rFonts w:ascii="Times New Roman" w:hAnsi="Times New Roman"/>
                <w:sz w:val="24"/>
              </w:rPr>
              <w:t>7 (35%)</w:t>
            </w:r>
          </w:p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– </w:t>
            </w:r>
            <w:r>
              <w:rPr>
                <w:rFonts w:ascii="Times New Roman" w:hAnsi="Times New Roman"/>
                <w:sz w:val="24"/>
              </w:rPr>
              <w:t>13 (65%)</w:t>
            </w:r>
          </w:p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Свой ответ – </w:t>
            </w:r>
            <w:r>
              <w:rPr>
                <w:rFonts w:ascii="Times New Roman" w:hAnsi="Times New Roman"/>
                <w:sz w:val="24"/>
              </w:rPr>
              <w:t>0 (0%)</w:t>
            </w:r>
          </w:p>
          <w:p w14:paraId="6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1"/>
            <w:vAlign w:val="center"/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0,697</w:t>
            </w:r>
          </w:p>
        </w:tc>
      </w:tr>
      <w:tr>
        <w:tc>
          <w:tcPr>
            <w:tcW w:type="dxa" w:w="3494"/>
            <w:vAlign w:val="center"/>
          </w:tcPr>
          <w:p w14:paraId="71000000">
            <w:pPr>
              <w:rPr>
                <w:rFonts w:ascii="Times New Roman" w:hAnsi="Times New Roman"/>
                <w:sz w:val="24"/>
              </w:rPr>
            </w:pPr>
          </w:p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 источники финансирования участия в очных олимпиадах доступны для ваших студентов?</w:t>
            </w:r>
          </w:p>
        </w:tc>
        <w:tc>
          <w:tcPr>
            <w:tcW w:type="dxa" w:w="2365"/>
            <w:vAlign w:val="center"/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Собственные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10</w:t>
            </w:r>
            <w:r>
              <w:rPr>
                <w:rFonts w:ascii="Times New Roman" w:hAnsi="Times New Roman"/>
                <w:sz w:val="24"/>
              </w:rPr>
              <w:t xml:space="preserve"> (37,1%)</w:t>
            </w:r>
          </w:p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вуза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8</w:t>
            </w:r>
            <w:r>
              <w:rPr>
                <w:rFonts w:ascii="Times New Roman" w:hAnsi="Times New Roman"/>
                <w:sz w:val="24"/>
              </w:rPr>
              <w:t xml:space="preserve"> (29,6%)</w:t>
            </w:r>
          </w:p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кафедры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3</w:t>
            </w:r>
            <w:r>
              <w:rPr>
                <w:rFonts w:ascii="Times New Roman" w:hAnsi="Times New Roman"/>
                <w:sz w:val="24"/>
              </w:rPr>
              <w:t xml:space="preserve"> (11,1%)</w:t>
            </w:r>
          </w:p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Спонсорская помощь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2</w:t>
            </w:r>
            <w:r>
              <w:rPr>
                <w:rFonts w:ascii="Times New Roman" w:hAnsi="Times New Roman"/>
                <w:sz w:val="24"/>
              </w:rPr>
              <w:t xml:space="preserve"> (7,4%)</w:t>
            </w:r>
          </w:p>
          <w:p w14:paraId="7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Свой ответ </w:t>
            </w:r>
            <w:r>
              <w:rPr>
                <w:rFonts w:ascii="Times New Roman" w:hAnsi="Times New Roman"/>
                <w:sz w:val="24"/>
              </w:rPr>
              <w:t>– 4 (14,8%)</w:t>
            </w:r>
          </w:p>
        </w:tc>
        <w:tc>
          <w:tcPr>
            <w:tcW w:type="dxa" w:w="2364"/>
            <w:vAlign w:val="center"/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Собственные –</w:t>
            </w:r>
            <w:r>
              <w:rPr>
                <w:rFonts w:ascii="Times New Roman" w:hAnsi="Times New Roman"/>
                <w:sz w:val="24"/>
              </w:rPr>
              <w:t xml:space="preserve"> 6 (30%)</w:t>
            </w:r>
          </w:p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вуза –</w:t>
            </w:r>
            <w:r>
              <w:rPr>
                <w:rFonts w:ascii="Times New Roman" w:hAnsi="Times New Roman"/>
                <w:sz w:val="24"/>
              </w:rPr>
              <w:t>7 (35%)</w:t>
            </w:r>
          </w:p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кафедры –</w:t>
            </w:r>
            <w:r>
              <w:rPr>
                <w:rFonts w:ascii="Times New Roman" w:hAnsi="Times New Roman"/>
                <w:sz w:val="24"/>
              </w:rPr>
              <w:t>1 (5%)</w:t>
            </w:r>
          </w:p>
          <w:p w14:paraId="7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Спонсорская помощь –</w:t>
            </w:r>
            <w:r>
              <w:rPr>
                <w:rFonts w:ascii="Times New Roman" w:hAnsi="Times New Roman"/>
                <w:sz w:val="24"/>
              </w:rPr>
              <w:t>1 (5%)</w:t>
            </w:r>
          </w:p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 ответ – 6 (30%)</w:t>
            </w:r>
          </w:p>
        </w:tc>
        <w:tc>
          <w:tcPr>
            <w:tcW w:type="dxa" w:w="1131"/>
            <w:vAlign w:val="center"/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0,721</w:t>
            </w:r>
          </w:p>
        </w:tc>
      </w:tr>
      <w:tr>
        <w:tc>
          <w:tcPr>
            <w:tcW w:type="dxa" w:w="3494"/>
            <w:vAlign w:val="center"/>
          </w:tcPr>
          <w:p w14:paraId="7E000000">
            <w:pPr>
              <w:rPr>
                <w:rFonts w:ascii="Times New Roman" w:hAnsi="Times New Roman"/>
                <w:sz w:val="24"/>
              </w:rPr>
            </w:pPr>
          </w:p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стимулирует студентов участвовать в олимпиадах?</w:t>
            </w:r>
          </w:p>
          <w:p w14:paraId="80000000">
            <w:pPr>
              <w:pStyle w:val="Style_2"/>
              <w:numPr>
                <w:ilvl w:val="0"/>
                <w:numId w:val="1"/>
              </w:numPr>
              <w:tabs>
                <w:tab w:leader="none" w:pos="311" w:val="left"/>
              </w:tabs>
              <w:ind w:firstLine="27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Желание проверить и повысить свои знания и умения</w:t>
            </w:r>
          </w:p>
          <w:p w14:paraId="81000000">
            <w:pPr>
              <w:pStyle w:val="Style_2"/>
              <w:numPr>
                <w:ilvl w:val="0"/>
                <w:numId w:val="1"/>
              </w:numPr>
              <w:tabs>
                <w:tab w:leader="none" w:pos="311" w:val="left"/>
              </w:tabs>
              <w:ind w:firstLine="27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Конкуренция и стремление к победе</w:t>
            </w:r>
          </w:p>
          <w:p w14:paraId="82000000">
            <w:pPr>
              <w:pStyle w:val="Style_2"/>
              <w:numPr>
                <w:ilvl w:val="0"/>
                <w:numId w:val="1"/>
              </w:numPr>
              <w:tabs>
                <w:tab w:leader="none" w:pos="311" w:val="left"/>
              </w:tabs>
              <w:ind w:firstLine="27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Признание и социальная мотивация</w:t>
            </w:r>
          </w:p>
          <w:p w14:paraId="83000000">
            <w:pPr>
              <w:pStyle w:val="Style_2"/>
              <w:numPr>
                <w:ilvl w:val="0"/>
                <w:numId w:val="1"/>
              </w:numPr>
              <w:tabs>
                <w:tab w:leader="none" w:pos="311" w:val="left"/>
              </w:tabs>
              <w:ind w:firstLine="27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Дополнительные баллы, учитываемые при промежуточной аттестации по дисциплине</w:t>
            </w:r>
          </w:p>
          <w:p w14:paraId="84000000">
            <w:pPr>
              <w:pStyle w:val="Style_2"/>
              <w:numPr>
                <w:ilvl w:val="0"/>
                <w:numId w:val="1"/>
              </w:numPr>
              <w:tabs>
                <w:tab w:leader="none" w:pos="311" w:val="left"/>
              </w:tabs>
              <w:ind w:firstLine="27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Материальные и нематериальные призы</w:t>
            </w:r>
          </w:p>
          <w:p w14:paraId="85000000">
            <w:pPr>
              <w:pStyle w:val="Style_2"/>
              <w:tabs>
                <w:tab w:leader="none" w:pos="311" w:val="left"/>
              </w:tabs>
              <w:ind w:firstLine="27"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65"/>
            <w:vAlign w:val="center"/>
          </w:tcPr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(18,5%)</w:t>
            </w:r>
          </w:p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</w:t>
            </w:r>
            <w:r>
              <w:rPr>
                <w:rFonts w:ascii="Times New Roman" w:hAnsi="Times New Roman"/>
                <w:sz w:val="24"/>
              </w:rPr>
              <w:t>4 (14,8%)</w:t>
            </w:r>
          </w:p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–</w:t>
            </w:r>
            <w:r>
              <w:rPr>
                <w:rFonts w:ascii="Times New Roman" w:hAnsi="Times New Roman"/>
                <w:sz w:val="24"/>
              </w:rPr>
              <w:t xml:space="preserve"> 8 (29,6%)</w:t>
            </w:r>
          </w:p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– 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(33,3%)</w:t>
            </w:r>
          </w:p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</w:t>
            </w:r>
            <w:r>
              <w:rPr>
                <w:rFonts w:ascii="Times New Roman" w:hAnsi="Times New Roman"/>
                <w:sz w:val="24"/>
              </w:rPr>
              <w:t>1 (3,7%)</w:t>
            </w:r>
          </w:p>
          <w:p w14:paraId="8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Свой ответ – </w:t>
            </w:r>
            <w:r>
              <w:rPr>
                <w:rFonts w:ascii="Times New Roman" w:hAnsi="Times New Roman"/>
                <w:sz w:val="24"/>
              </w:rPr>
              <w:t>0 (0%)</w:t>
            </w:r>
          </w:p>
          <w:p w14:paraId="8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64"/>
            <w:vAlign w:val="center"/>
          </w:tcPr>
          <w:p w14:paraId="8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</w:t>
            </w:r>
            <w:r>
              <w:rPr>
                <w:rFonts w:ascii="Times New Roman" w:hAnsi="Times New Roman"/>
                <w:sz w:val="24"/>
              </w:rPr>
              <w:t>3 (15%)</w:t>
            </w:r>
          </w:p>
          <w:p w14:paraId="8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</w:t>
            </w:r>
            <w:r>
              <w:rPr>
                <w:rFonts w:ascii="Times New Roman" w:hAnsi="Times New Roman"/>
                <w:sz w:val="24"/>
              </w:rPr>
              <w:t>1 (5%)</w:t>
            </w:r>
          </w:p>
          <w:p w14:paraId="8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–</w:t>
            </w:r>
            <w:r>
              <w:rPr>
                <w:rFonts w:ascii="Times New Roman" w:hAnsi="Times New Roman"/>
                <w:sz w:val="24"/>
              </w:rPr>
              <w:t>4 (20%)</w:t>
            </w:r>
          </w:p>
          <w:p w14:paraId="9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– </w:t>
            </w:r>
            <w:r>
              <w:rPr>
                <w:rFonts w:ascii="Times New Roman" w:hAnsi="Times New Roman"/>
                <w:sz w:val="24"/>
              </w:rPr>
              <w:t>10 (50%)</w:t>
            </w:r>
          </w:p>
          <w:p w14:paraId="9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</w:t>
            </w:r>
            <w:r>
              <w:rPr>
                <w:rFonts w:ascii="Times New Roman" w:hAnsi="Times New Roman"/>
                <w:sz w:val="24"/>
              </w:rPr>
              <w:t>1 (5%)</w:t>
            </w:r>
          </w:p>
          <w:p w14:paraId="9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Свой ответ – </w:t>
            </w:r>
            <w:r>
              <w:rPr>
                <w:rFonts w:ascii="Times New Roman" w:hAnsi="Times New Roman"/>
                <w:sz w:val="24"/>
              </w:rPr>
              <w:t>1 (5%)</w:t>
            </w:r>
          </w:p>
          <w:p w14:paraId="9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1"/>
            <w:vAlign w:val="center"/>
          </w:tcPr>
          <w:p w14:paraId="9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0,684</w:t>
            </w:r>
          </w:p>
        </w:tc>
      </w:tr>
    </w:tbl>
    <w:p w14:paraId="95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., * - статистически значимые различия в частоте ответов при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&lt;0,</w:t>
      </w:r>
      <w:r>
        <w:rPr>
          <w:rFonts w:ascii="Times New Roman" w:hAnsi="Times New Roman"/>
          <w:sz w:val="24"/>
        </w:rPr>
        <w:t>1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&lt;0,05</w:t>
      </w:r>
      <w:r>
        <w:rPr>
          <w:rFonts w:ascii="Times New Roman" w:hAnsi="Times New Roman"/>
          <w:sz w:val="24"/>
        </w:rPr>
        <w:t>, соответственно.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2026-01-21T09:54:36Z</dcterms:modified>
</cp:coreProperties>
</file>